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78" w:rsidRDefault="00352BC5" w:rsidP="0065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78">
        <w:rPr>
          <w:rFonts w:ascii="Times New Roman" w:hAnsi="Times New Roman" w:cs="Times New Roman"/>
          <w:b/>
          <w:sz w:val="28"/>
          <w:szCs w:val="28"/>
        </w:rPr>
        <w:t xml:space="preserve">«О работе по реализации проекта на средства Гранта Губернатора Алтайского края «Инклюзивные технологии интеграции и адаптации мигрантов в образовательной среде» Алтайской краевой общественной организации психолого-социального сопровождения и охраны здоровья «Позитивное развитие» и использовании результатов работы </w:t>
      </w:r>
    </w:p>
    <w:p w:rsidR="0095663C" w:rsidRDefault="00352BC5" w:rsidP="0065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78">
        <w:rPr>
          <w:rFonts w:ascii="Times New Roman" w:hAnsi="Times New Roman" w:cs="Times New Roman"/>
          <w:b/>
          <w:sz w:val="28"/>
          <w:szCs w:val="28"/>
        </w:rPr>
        <w:t>в деятельности национально-культурных объединений края</w:t>
      </w:r>
    </w:p>
    <w:p w:rsidR="002B477E" w:rsidRDefault="002B477E" w:rsidP="0065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7E" w:rsidRPr="00653978" w:rsidRDefault="002B477E" w:rsidP="0065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7E">
        <w:rPr>
          <w:rFonts w:ascii="Times New Roman" w:hAnsi="Times New Roman" w:cs="Times New Roman"/>
          <w:b/>
          <w:bCs/>
          <w:sz w:val="28"/>
          <w:szCs w:val="28"/>
        </w:rPr>
        <w:t>Специфика аккультурации иностранных мигрантов в Алтайском крае</w:t>
      </w:r>
    </w:p>
    <w:p w:rsidR="00352BC5" w:rsidRDefault="00352BC5" w:rsidP="00F57FE9">
      <w:pPr>
        <w:spacing w:after="0" w:line="240" w:lineRule="auto"/>
      </w:pPr>
    </w:p>
    <w:p w:rsidR="002B477E" w:rsidRPr="002B477E" w:rsidRDefault="002B477E" w:rsidP="002B477E">
      <w:pPr>
        <w:spacing w:after="0" w:line="240" w:lineRule="auto"/>
      </w:pPr>
      <w:r w:rsidRPr="002B477E">
        <w:rPr>
          <w:b/>
          <w:bCs/>
        </w:rPr>
        <w:t xml:space="preserve">Максимова Светлана Геннадьевна, </w:t>
      </w:r>
    </w:p>
    <w:p w:rsidR="002B477E" w:rsidRPr="002B477E" w:rsidRDefault="002B477E" w:rsidP="002B477E">
      <w:pPr>
        <w:spacing w:after="0" w:line="240" w:lineRule="auto"/>
      </w:pPr>
      <w:r w:rsidRPr="002B477E">
        <w:t>Председатель Совета АКОО ПССОЗ «Позитивное развитие»</w:t>
      </w:r>
    </w:p>
    <w:p w:rsidR="002B477E" w:rsidRPr="002B477E" w:rsidRDefault="002B477E" w:rsidP="002B477E">
      <w:pPr>
        <w:spacing w:after="0" w:line="240" w:lineRule="auto"/>
      </w:pPr>
      <w:r w:rsidRPr="002B477E">
        <w:rPr>
          <w:b/>
          <w:bCs/>
        </w:rPr>
        <w:t>Омельченко Дарья Алексеевна</w:t>
      </w:r>
    </w:p>
    <w:p w:rsidR="002B477E" w:rsidRPr="002B477E" w:rsidRDefault="002B477E" w:rsidP="002B477E">
      <w:pPr>
        <w:spacing w:after="0" w:line="240" w:lineRule="auto"/>
      </w:pPr>
      <w:r w:rsidRPr="002B477E">
        <w:t>Координатор проекта</w:t>
      </w:r>
    </w:p>
    <w:p w:rsidR="002B477E" w:rsidRPr="002B477E" w:rsidRDefault="002B477E" w:rsidP="002B477E">
      <w:pPr>
        <w:spacing w:after="0" w:line="240" w:lineRule="auto"/>
      </w:pPr>
      <w:proofErr w:type="spellStart"/>
      <w:r w:rsidRPr="002B477E">
        <w:rPr>
          <w:b/>
          <w:bCs/>
        </w:rPr>
        <w:t>Сарыглар</w:t>
      </w:r>
      <w:proofErr w:type="spellEnd"/>
      <w:r w:rsidRPr="002B477E">
        <w:rPr>
          <w:b/>
          <w:bCs/>
        </w:rPr>
        <w:t xml:space="preserve"> </w:t>
      </w:r>
      <w:proofErr w:type="spellStart"/>
      <w:r w:rsidRPr="002B477E">
        <w:rPr>
          <w:b/>
          <w:bCs/>
        </w:rPr>
        <w:t>Салдысмаа</w:t>
      </w:r>
      <w:proofErr w:type="spellEnd"/>
      <w:r w:rsidRPr="002B477E">
        <w:rPr>
          <w:b/>
          <w:bCs/>
        </w:rPr>
        <w:t xml:space="preserve"> Артуровна</w:t>
      </w:r>
    </w:p>
    <w:p w:rsidR="002B477E" w:rsidRPr="002B477E" w:rsidRDefault="002B477E" w:rsidP="002B477E">
      <w:pPr>
        <w:spacing w:after="0" w:line="240" w:lineRule="auto"/>
      </w:pPr>
      <w:r w:rsidRPr="002B477E">
        <w:t>Волонтер проекта</w:t>
      </w:r>
    </w:p>
    <w:p w:rsidR="002B477E" w:rsidRDefault="002B477E" w:rsidP="00F57FE9">
      <w:pPr>
        <w:spacing w:after="0" w:line="240" w:lineRule="auto"/>
      </w:pPr>
      <w:bookmarkStart w:id="0" w:name="_GoBack"/>
      <w:bookmarkEnd w:id="0"/>
    </w:p>
    <w:p w:rsidR="002B477E" w:rsidRDefault="002B477E" w:rsidP="00F57FE9">
      <w:pPr>
        <w:spacing w:after="0" w:line="240" w:lineRule="auto"/>
      </w:pPr>
    </w:p>
    <w:p w:rsidR="00352BC5" w:rsidRPr="009C6855" w:rsidRDefault="00352BC5" w:rsidP="00F57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855">
        <w:rPr>
          <w:rFonts w:ascii="Times New Roman" w:hAnsi="Times New Roman" w:cs="Times New Roman"/>
          <w:sz w:val="28"/>
          <w:szCs w:val="28"/>
        </w:rPr>
        <w:t>В настоящее время вопросы миграции носят поистине глобальный характер. Согласно данным международной статистики ежегодно по всему миру мигрируют сотни миллионов людей, и с каждым годом их количество только увеличивается. Политика национальных интересов Российской Федерации существенным образом трансформировалась в соответствии с происходящими в течение последних лет процессами в этнокультурной сфере, новыми угрозами гражданскому единству населения страны, особенно это касается миграционной политики России. Для приграничн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6855">
        <w:rPr>
          <w:rFonts w:ascii="Times New Roman" w:hAnsi="Times New Roman" w:cs="Times New Roman"/>
          <w:sz w:val="28"/>
          <w:szCs w:val="28"/>
        </w:rPr>
        <w:t xml:space="preserve"> регионов страны как более открытых для взаимодействия с другими государствами, миграционных потоков, эта задача наиболее актуальна.</w:t>
      </w:r>
    </w:p>
    <w:p w:rsidR="00352BC5" w:rsidRPr="00B344E2" w:rsidRDefault="00352BC5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855">
        <w:rPr>
          <w:rFonts w:ascii="Times New Roman" w:hAnsi="Times New Roman" w:cs="Times New Roman"/>
          <w:sz w:val="28"/>
          <w:szCs w:val="28"/>
        </w:rPr>
        <w:t xml:space="preserve">Адаптация и интеграция мигрантов также является неотъемлемой частью государственной миграционной политики. Во многих странах мира накоплен значительный опыт в государственном регулировании процессов адаптации, интеграции иностранных мигрантов. В России же данное направление только получает развитие. Так, о значимости процессов адаптации и интеграции мигрантов в миграционной политике государства впервые </w:t>
      </w:r>
      <w:r w:rsidRPr="00B344E2">
        <w:rPr>
          <w:rFonts w:ascii="Times New Roman" w:hAnsi="Times New Roman" w:cs="Times New Roman"/>
          <w:sz w:val="28"/>
          <w:szCs w:val="28"/>
        </w:rPr>
        <w:t>было упомянуто в Концепции государственной миграционной политики РФ на период до 2025 г. от 13 июня 2012 г., где отмечается, что “…важным элементом государственной миграционной политики Российской Федерации является обеспечение условий для адаптации и интеграции мигрантов…”.</w:t>
      </w:r>
    </w:p>
    <w:p w:rsidR="00352BC5" w:rsidRPr="00B344E2" w:rsidRDefault="00352BC5" w:rsidP="00F57F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44E2">
        <w:rPr>
          <w:rFonts w:ascii="Times New Roman" w:hAnsi="Times New Roman"/>
          <w:sz w:val="28"/>
          <w:szCs w:val="28"/>
        </w:rPr>
        <w:t xml:space="preserve">В рамках этого направления предполагается создание условий для адаптации и интеграции мигрантов, включая их обучение русскому языку; создание инфраструктуры, обеспечивающей содействие их адаптации и интеграции. Таким образом, адаптация и интеграция мигрантов являются одним из важнейших гуманистических приоритетов образовательной деятельности в ближайшие годы, реализация которого требует активного участия всей системы образования детей Российской Федерации. Применительно к детям и молодежи эти вопросы могут эффективно решаться </w:t>
      </w:r>
      <w:r w:rsidRPr="00B344E2">
        <w:rPr>
          <w:rFonts w:ascii="Times New Roman" w:hAnsi="Times New Roman"/>
          <w:sz w:val="28"/>
          <w:szCs w:val="28"/>
        </w:rPr>
        <w:lastRenderedPageBreak/>
        <w:t xml:space="preserve">посредством целенаправленной деятельности учреждений общего и высшего образования. </w:t>
      </w:r>
    </w:p>
    <w:p w:rsidR="00D42A68" w:rsidRDefault="00D42A68" w:rsidP="00F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06" w:rsidRPr="008678A6" w:rsidRDefault="008678A6" w:rsidP="00F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6E1A06" w:rsidRPr="009C6855" w:rsidRDefault="006E1A06" w:rsidP="00F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«</w:t>
      </w:r>
      <w:r w:rsidRPr="003C0C7E">
        <w:rPr>
          <w:rFonts w:ascii="Times New Roman" w:hAnsi="Times New Roman" w:cs="Times New Roman"/>
          <w:b/>
          <w:sz w:val="28"/>
          <w:szCs w:val="28"/>
        </w:rPr>
        <w:t>Инклюзивные технологии интеграции и адаптации мигрантов в образовательной среде</w:t>
      </w:r>
      <w:r w:rsidRPr="009C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логическим продолжением реализации предшествующей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АКОО ПССОЗ «Позитивное развитие»</w:t>
      </w:r>
      <w:r w:rsidRPr="009C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включением новых направлений по повышению значимости некоммерческого сектора и популяризации деятельности в области ресурсного обеспечения интеграции мигрантов и предотвращения их социальной </w:t>
      </w:r>
      <w:proofErr w:type="spellStart"/>
      <w:r w:rsidRPr="009C6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эксклюзии</w:t>
      </w:r>
      <w:proofErr w:type="spellEnd"/>
      <w:r w:rsidRPr="009C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(исключения)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естными сообществами Алтайского края как приграничного</w:t>
      </w:r>
      <w:r w:rsidRPr="009C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9C6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68" w:rsidRDefault="00D42A68" w:rsidP="00F57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06" w:rsidRDefault="0054517C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8D65B9" w:rsidRDefault="008D65B9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деятельности АКОО ПССОЗ «</w:t>
      </w:r>
      <w:r w:rsidR="00D853E7">
        <w:rPr>
          <w:rFonts w:ascii="Times New Roman" w:hAnsi="Times New Roman" w:cs="Times New Roman"/>
          <w:sz w:val="28"/>
          <w:szCs w:val="28"/>
        </w:rPr>
        <w:t>Позитивное развитие» в области интеграции и адаптации мигрантов включает три направления:</w:t>
      </w:r>
    </w:p>
    <w:p w:rsidR="00D853E7" w:rsidRDefault="00D853E7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объективную оценку в области миграционных процессов в регионе (проведение социологических исследований среди населения, мигрантов и экспертов – оценка адаптационного потенциала населения региона, оценка интеграции мигрантов, прогнозные сценарии развития адаптационного потенциала и интеграции мигрантов)</w:t>
      </w:r>
    </w:p>
    <w:p w:rsidR="00D853E7" w:rsidRDefault="00D853E7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адаптационного потенциала принимающего населения (проведение курсов повышения квалификации в образовательной среде: учителя школ, преподаватели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54517C">
        <w:rPr>
          <w:rFonts w:ascii="Times New Roman" w:hAnsi="Times New Roman" w:cs="Times New Roman"/>
          <w:sz w:val="28"/>
          <w:szCs w:val="28"/>
        </w:rPr>
        <w:t>; двух дизайн-сессий «Инклюзия детей-мигрантов в современной школе: новые технологии и педагогические практики», «</w:t>
      </w:r>
      <w:r w:rsidR="0054517C" w:rsidRPr="00AC1DFF">
        <w:rPr>
          <w:rFonts w:ascii="Times New Roman" w:hAnsi="Times New Roman" w:cs="Times New Roman"/>
          <w:sz w:val="28"/>
          <w:szCs w:val="28"/>
        </w:rPr>
        <w:t xml:space="preserve">Социокультурные кейсы как инклюзивная технология интеграции и адаптации </w:t>
      </w:r>
      <w:r w:rsidR="0054517C">
        <w:rPr>
          <w:rFonts w:ascii="Times New Roman" w:hAnsi="Times New Roman" w:cs="Times New Roman"/>
          <w:sz w:val="28"/>
          <w:szCs w:val="28"/>
        </w:rPr>
        <w:t>иностранных студентов в пространстве современного вуза»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53E7" w:rsidRDefault="00D853E7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интегрированности мигрантов в социальной среде регион</w:t>
      </w:r>
      <w:r w:rsidR="008678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(создание доступной информационной среды для иностранных мигрантов, </w:t>
      </w:r>
      <w:r w:rsidR="008678A6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>
        <w:rPr>
          <w:rFonts w:ascii="Times New Roman" w:hAnsi="Times New Roman" w:cs="Times New Roman"/>
          <w:sz w:val="28"/>
          <w:szCs w:val="28"/>
        </w:rPr>
        <w:t>справочно</w:t>
      </w:r>
      <w:r w:rsidR="008678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678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иностранных мигрантов)</w:t>
      </w:r>
    </w:p>
    <w:p w:rsidR="0054517C" w:rsidRDefault="0054517C" w:rsidP="00F57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7C" w:rsidRDefault="0054517C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D853E7" w:rsidRDefault="00D853E7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адаптационного потенциала населения была </w:t>
      </w:r>
      <w:r w:rsidRPr="00B860C4">
        <w:rPr>
          <w:rFonts w:ascii="Times New Roman" w:hAnsi="Times New Roman" w:cs="Times New Roman"/>
          <w:sz w:val="28"/>
          <w:szCs w:val="28"/>
        </w:rPr>
        <w:t xml:space="preserve">построена шкала адаптационного потенциала, </w:t>
      </w:r>
      <w:r>
        <w:rPr>
          <w:rFonts w:ascii="Times New Roman" w:hAnsi="Times New Roman" w:cs="Times New Roman"/>
          <w:sz w:val="28"/>
          <w:szCs w:val="28"/>
        </w:rPr>
        <w:t xml:space="preserve">которая позволила </w:t>
      </w:r>
      <w:r w:rsidRPr="00B860C4">
        <w:rPr>
          <w:rFonts w:ascii="Times New Roman" w:hAnsi="Times New Roman" w:cs="Times New Roman"/>
          <w:sz w:val="28"/>
          <w:szCs w:val="28"/>
        </w:rPr>
        <w:t xml:space="preserve">оценить особенности отношения населения к мигрантам,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 других национальностей, </w:t>
      </w:r>
      <w:r w:rsidRPr="00B860C4">
        <w:rPr>
          <w:rFonts w:ascii="Times New Roman" w:hAnsi="Times New Roman" w:cs="Times New Roman"/>
          <w:sz w:val="28"/>
          <w:szCs w:val="28"/>
        </w:rPr>
        <w:t xml:space="preserve">международной политике страны и определить группы населения с высоким, средним и низким </w:t>
      </w:r>
      <w:r>
        <w:rPr>
          <w:rFonts w:ascii="Times New Roman" w:hAnsi="Times New Roman" w:cs="Times New Roman"/>
          <w:sz w:val="28"/>
          <w:szCs w:val="28"/>
        </w:rPr>
        <w:t xml:space="preserve">уровнем </w:t>
      </w:r>
      <w:r w:rsidRPr="00B860C4">
        <w:rPr>
          <w:rFonts w:ascii="Times New Roman" w:hAnsi="Times New Roman" w:cs="Times New Roman"/>
          <w:sz w:val="28"/>
          <w:szCs w:val="28"/>
        </w:rPr>
        <w:t>адаптационн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60C4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853E7" w:rsidRDefault="00D853E7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4B">
        <w:rPr>
          <w:rFonts w:ascii="Times New Roman" w:hAnsi="Times New Roman" w:cs="Times New Roman"/>
          <w:sz w:val="28"/>
          <w:szCs w:val="28"/>
        </w:rPr>
        <w:t>Для принимающего сообщества Алтайского края характерен средний уровень адаптационного потенциала - частичное принятие представителей других национальностей, поддержка определенных групп мигрантов и избирательной международной политики.</w:t>
      </w:r>
    </w:p>
    <w:p w:rsidR="00D853E7" w:rsidRDefault="00E6079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3E7" w:rsidRPr="0010564B">
        <w:rPr>
          <w:rFonts w:ascii="Times New Roman" w:hAnsi="Times New Roman" w:cs="Times New Roman"/>
          <w:sz w:val="28"/>
          <w:szCs w:val="28"/>
        </w:rPr>
        <w:t xml:space="preserve">ыявлены </w:t>
      </w:r>
      <w:r w:rsidR="00D853E7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D853E7" w:rsidRPr="0010564B">
        <w:rPr>
          <w:rFonts w:ascii="Times New Roman" w:hAnsi="Times New Roman" w:cs="Times New Roman"/>
          <w:sz w:val="28"/>
          <w:szCs w:val="28"/>
        </w:rPr>
        <w:t>факторы адаптационного потенциала</w:t>
      </w:r>
      <w:r w:rsidR="00D853E7">
        <w:rPr>
          <w:rFonts w:ascii="Times New Roman" w:hAnsi="Times New Roman" w:cs="Times New Roman"/>
          <w:sz w:val="28"/>
          <w:szCs w:val="28"/>
        </w:rPr>
        <w:t xml:space="preserve">. </w:t>
      </w:r>
      <w:r w:rsidR="00D853E7" w:rsidRPr="0010564B">
        <w:rPr>
          <w:rFonts w:ascii="Times New Roman" w:hAnsi="Times New Roman" w:cs="Times New Roman"/>
          <w:sz w:val="28"/>
          <w:szCs w:val="28"/>
        </w:rPr>
        <w:t>Чем больше население доверяет своим близким, друзьям, руководителям организаций</w:t>
      </w:r>
      <w:r w:rsidR="00D853E7">
        <w:rPr>
          <w:rFonts w:ascii="Times New Roman" w:hAnsi="Times New Roman" w:cs="Times New Roman"/>
          <w:sz w:val="28"/>
          <w:szCs w:val="28"/>
        </w:rPr>
        <w:t>, Президенту</w:t>
      </w:r>
      <w:r w:rsidR="00D853E7" w:rsidRPr="0010564B">
        <w:rPr>
          <w:rFonts w:ascii="Times New Roman" w:hAnsi="Times New Roman" w:cs="Times New Roman"/>
          <w:sz w:val="28"/>
          <w:szCs w:val="28"/>
        </w:rPr>
        <w:t xml:space="preserve"> и Правительству РФ, чем </w:t>
      </w:r>
      <w:r w:rsidR="00D853E7">
        <w:rPr>
          <w:rFonts w:ascii="Times New Roman" w:hAnsi="Times New Roman" w:cs="Times New Roman"/>
          <w:sz w:val="28"/>
          <w:szCs w:val="28"/>
        </w:rPr>
        <w:t>больше</w:t>
      </w:r>
      <w:r w:rsidR="00D853E7" w:rsidRPr="0010564B">
        <w:rPr>
          <w:rFonts w:ascii="Times New Roman" w:hAnsi="Times New Roman" w:cs="Times New Roman"/>
          <w:sz w:val="28"/>
          <w:szCs w:val="28"/>
        </w:rPr>
        <w:t xml:space="preserve"> удовлетворе</w:t>
      </w:r>
      <w:r w:rsidR="00D853E7">
        <w:rPr>
          <w:rFonts w:ascii="Times New Roman" w:hAnsi="Times New Roman" w:cs="Times New Roman"/>
          <w:sz w:val="28"/>
          <w:szCs w:val="28"/>
        </w:rPr>
        <w:t>ны</w:t>
      </w:r>
      <w:r w:rsidR="00D853E7" w:rsidRPr="0010564B">
        <w:rPr>
          <w:rFonts w:ascii="Times New Roman" w:hAnsi="Times New Roman" w:cs="Times New Roman"/>
          <w:sz w:val="28"/>
          <w:szCs w:val="28"/>
        </w:rPr>
        <w:t xml:space="preserve"> своей жизнью, </w:t>
      </w:r>
      <w:r w:rsidR="00D853E7" w:rsidRPr="0010564B">
        <w:rPr>
          <w:rFonts w:ascii="Times New Roman" w:hAnsi="Times New Roman" w:cs="Times New Roman"/>
          <w:sz w:val="28"/>
          <w:szCs w:val="28"/>
        </w:rPr>
        <w:lastRenderedPageBreak/>
        <w:t>семейным положением и чем выше уровень образования, тем выше адаптационный потенциал населения.</w:t>
      </w:r>
    </w:p>
    <w:p w:rsidR="00D853E7" w:rsidRDefault="00D853E7" w:rsidP="00F57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9A" w:rsidRDefault="00E6079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8D65B9" w:rsidRPr="008D65B9" w:rsidRDefault="006E1A06" w:rsidP="00F57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Алтайском крае наблюдаются активные миграционные потоки. </w:t>
      </w:r>
      <w:r w:rsidR="008D65B9" w:rsidRPr="008D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из зарубежных стран в регион прибыло 10 216 человек, в 2018 г. – 11 280, 2019 г. – 12590, 2020 г. – 8747, 2021 – 8319, 2022 г. – </w:t>
      </w:r>
    </w:p>
    <w:p w:rsidR="00670CE2" w:rsidRDefault="00670CE2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5AB">
        <w:rPr>
          <w:rFonts w:ascii="Times New Roman" w:hAnsi="Times New Roman" w:cs="Times New Roman"/>
          <w:sz w:val="28"/>
          <w:szCs w:val="28"/>
        </w:rPr>
        <w:t xml:space="preserve">Для анализа адаптивных стратегий иностранных мигрантов мы проанализировали результаты </w:t>
      </w:r>
      <w:r w:rsidR="008D65B9">
        <w:rPr>
          <w:rFonts w:ascii="Times New Roman" w:hAnsi="Times New Roman" w:cs="Times New Roman"/>
          <w:sz w:val="28"/>
          <w:szCs w:val="28"/>
        </w:rPr>
        <w:t>социологического исследования</w:t>
      </w:r>
      <w:r w:rsidRPr="00EB35AB">
        <w:rPr>
          <w:rFonts w:ascii="Times New Roman" w:hAnsi="Times New Roman" w:cs="Times New Roman"/>
          <w:sz w:val="28"/>
          <w:szCs w:val="28"/>
        </w:rPr>
        <w:t>, проведенного среди мигрантов, прибывающих на территорию Алтайского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79A">
        <w:rPr>
          <w:rFonts w:ascii="Times New Roman" w:hAnsi="Times New Roman" w:cs="Times New Roman"/>
          <w:sz w:val="28"/>
          <w:szCs w:val="28"/>
        </w:rPr>
        <w:t>Б</w:t>
      </w:r>
      <w:r w:rsidRPr="00EB35AB">
        <w:rPr>
          <w:rFonts w:ascii="Times New Roman" w:hAnsi="Times New Roman" w:cs="Times New Roman"/>
          <w:sz w:val="28"/>
          <w:szCs w:val="28"/>
        </w:rPr>
        <w:t>ольшинство мигрантов, находящихся в Алтайском крае, являются гражданами Казахстана (33,2%), что объясняется общей границей и соседством регионов. Также в крае находятся граждане Таджикистана (20,6%), Узбекистана (18,8%), Киргизии (7,5%) и других стран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35AB">
        <w:rPr>
          <w:rFonts w:ascii="Times New Roman" w:hAnsi="Times New Roman" w:cs="Times New Roman"/>
          <w:sz w:val="28"/>
          <w:szCs w:val="28"/>
        </w:rPr>
        <w:t>Как показывают результаты исследования, миграция в России является преимущественно трудовой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образовательной</w:t>
      </w:r>
      <w:r w:rsidRPr="00EB35AB">
        <w:rPr>
          <w:rFonts w:ascii="Times New Roman" w:hAnsi="Times New Roman" w:cs="Times New Roman"/>
          <w:sz w:val="28"/>
          <w:szCs w:val="28"/>
        </w:rPr>
        <w:t>. Подавляющее большинство мигрантов приехал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35AB">
        <w:rPr>
          <w:rFonts w:ascii="Times New Roman" w:hAnsi="Times New Roman" w:cs="Times New Roman"/>
          <w:sz w:val="28"/>
          <w:szCs w:val="28"/>
        </w:rPr>
        <w:t xml:space="preserve"> ради трудовой деятельности (50,6%) и получения образования (29,4%).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E2" w:rsidRDefault="0054795B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70CE2" w:rsidRPr="00EB35AB">
        <w:rPr>
          <w:rFonts w:ascii="Times New Roman" w:hAnsi="Times New Roman" w:cs="Times New Roman"/>
          <w:sz w:val="28"/>
          <w:szCs w:val="28"/>
        </w:rPr>
        <w:t>арактер миграции и состав миграционных потоков в регионе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670CE2" w:rsidRPr="00EB35AB">
        <w:rPr>
          <w:rFonts w:ascii="Times New Roman" w:hAnsi="Times New Roman" w:cs="Times New Roman"/>
          <w:sz w:val="28"/>
          <w:szCs w:val="28"/>
        </w:rPr>
        <w:t xml:space="preserve"> Алтайском крае находятся три группы мигрантов: возвратные </w:t>
      </w:r>
      <w:r>
        <w:rPr>
          <w:rFonts w:ascii="Times New Roman" w:hAnsi="Times New Roman" w:cs="Times New Roman"/>
          <w:sz w:val="28"/>
          <w:szCs w:val="28"/>
        </w:rPr>
        <w:t xml:space="preserve">(трудовые/маятниковые) </w:t>
      </w:r>
      <w:r w:rsidR="00670CE2" w:rsidRPr="00EB35AB">
        <w:rPr>
          <w:rFonts w:ascii="Times New Roman" w:hAnsi="Times New Roman" w:cs="Times New Roman"/>
          <w:sz w:val="28"/>
          <w:szCs w:val="28"/>
        </w:rPr>
        <w:t xml:space="preserve">(49,4%), безвозвратные (46,3%) и транзитные мигранты (4,3%). </w:t>
      </w:r>
    </w:p>
    <w:p w:rsidR="00670CE2" w:rsidRDefault="00670CE2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CE2" w:rsidRPr="0054795B" w:rsidRDefault="0054795B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5B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</w:p>
    <w:p w:rsidR="008D65B9" w:rsidRDefault="00670CE2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5AB">
        <w:rPr>
          <w:rFonts w:ascii="Times New Roman" w:hAnsi="Times New Roman" w:cs="Times New Roman"/>
          <w:sz w:val="28"/>
          <w:szCs w:val="28"/>
        </w:rPr>
        <w:t xml:space="preserve">Основываясь на классификации Дж. Берри, </w:t>
      </w:r>
      <w:r w:rsidR="0054795B">
        <w:rPr>
          <w:rFonts w:ascii="Times New Roman" w:hAnsi="Times New Roman" w:cs="Times New Roman"/>
          <w:sz w:val="28"/>
          <w:szCs w:val="28"/>
        </w:rPr>
        <w:t>выявлена</w:t>
      </w:r>
      <w:r w:rsidRPr="00EB35AB">
        <w:rPr>
          <w:rFonts w:ascii="Times New Roman" w:hAnsi="Times New Roman" w:cs="Times New Roman"/>
          <w:sz w:val="28"/>
          <w:szCs w:val="28"/>
        </w:rPr>
        <w:t xml:space="preserve"> выраженность у мигрантов стратегий интеграции, сепарации, </w:t>
      </w:r>
      <w:proofErr w:type="spellStart"/>
      <w:r w:rsidRPr="00EB35AB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EB35AB">
        <w:rPr>
          <w:rFonts w:ascii="Times New Roman" w:hAnsi="Times New Roman" w:cs="Times New Roman"/>
          <w:sz w:val="28"/>
          <w:szCs w:val="28"/>
        </w:rPr>
        <w:t xml:space="preserve"> и ассимиляции. </w:t>
      </w:r>
    </w:p>
    <w:p w:rsidR="00670CE2" w:rsidRDefault="00670CE2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5AB">
        <w:rPr>
          <w:rFonts w:ascii="Times New Roman" w:hAnsi="Times New Roman" w:cs="Times New Roman"/>
          <w:sz w:val="28"/>
          <w:szCs w:val="28"/>
        </w:rPr>
        <w:t>Так, для половины мигрантов в крае характерна стратегия интеграции (44,0%).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BA" w:rsidRDefault="003830E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б</w:t>
      </w:r>
      <w:r w:rsidR="009528BA" w:rsidRPr="00815B78">
        <w:rPr>
          <w:rFonts w:ascii="Times New Roman" w:hAnsi="Times New Roman" w:cs="Times New Roman"/>
          <w:sz w:val="28"/>
          <w:szCs w:val="28"/>
        </w:rPr>
        <w:t>ольшинство мигрантов попали в группы с высоким (43,9%) и средним уровнем интегрированности (41,5%).</w:t>
      </w:r>
    </w:p>
    <w:p w:rsidR="009528BA" w:rsidRDefault="009528B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уровень интегрированности отмечается в группе безвозвратных и повторных мигрантов. Низкий уровень интегрированности отмечается в группе возвратных мигрантов, которые намерены вернуться на родину по истечении определенного срока.</w:t>
      </w:r>
    </w:p>
    <w:p w:rsidR="009528BA" w:rsidRDefault="009528B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8BA" w:rsidRPr="003830EA" w:rsidRDefault="003830E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EA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528BA" w:rsidRDefault="009528B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9D">
        <w:rPr>
          <w:rFonts w:ascii="Times New Roman" w:hAnsi="Times New Roman" w:cs="Times New Roman"/>
          <w:sz w:val="28"/>
          <w:szCs w:val="28"/>
        </w:rPr>
        <w:t>Для определения возможных вариантов дальнейшего развития адаптационного потенциала населения и адаптивных стратегий мигрантов были использованы методы прогнозирования.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BA" w:rsidRDefault="009528B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показывает, что вы</w:t>
      </w:r>
      <w:r w:rsidRPr="0004099D">
        <w:rPr>
          <w:rFonts w:ascii="Times New Roman" w:hAnsi="Times New Roman" w:cs="Times New Roman"/>
          <w:sz w:val="28"/>
          <w:szCs w:val="28"/>
        </w:rPr>
        <w:t xml:space="preserve">сока вероятность преобладания у большинства населения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04099D">
        <w:rPr>
          <w:rFonts w:ascii="Times New Roman" w:hAnsi="Times New Roman" w:cs="Times New Roman"/>
          <w:sz w:val="28"/>
          <w:szCs w:val="28"/>
        </w:rPr>
        <w:t xml:space="preserve"> среднего уровня адаптационного потенциала. Население будет положительно относиться к представителям определенных национальностей, будет поддерживать и принимать некоторые категории мигрантов.</w:t>
      </w:r>
    </w:p>
    <w:p w:rsidR="009528BA" w:rsidRPr="0004099D" w:rsidRDefault="009528B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9D">
        <w:rPr>
          <w:rFonts w:ascii="Times New Roman" w:hAnsi="Times New Roman" w:cs="Times New Roman"/>
          <w:sz w:val="28"/>
          <w:szCs w:val="28"/>
        </w:rPr>
        <w:t xml:space="preserve">Наибольшую важность для прогнозирования адаптационного потенциала играет оценка населением положительных и негативных </w:t>
      </w:r>
      <w:r w:rsidRPr="0004099D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миграции. </w:t>
      </w:r>
      <w:r w:rsidR="003830EA">
        <w:rPr>
          <w:rFonts w:ascii="Times New Roman" w:hAnsi="Times New Roman" w:cs="Times New Roman"/>
          <w:sz w:val="28"/>
          <w:szCs w:val="28"/>
        </w:rPr>
        <w:t>Н</w:t>
      </w:r>
      <w:r w:rsidRPr="0004099D">
        <w:rPr>
          <w:rFonts w:ascii="Times New Roman" w:hAnsi="Times New Roman" w:cs="Times New Roman"/>
          <w:sz w:val="28"/>
          <w:szCs w:val="28"/>
        </w:rPr>
        <w:t>аселени</w:t>
      </w:r>
      <w:r w:rsidR="003830EA">
        <w:rPr>
          <w:rFonts w:ascii="Times New Roman" w:hAnsi="Times New Roman" w:cs="Times New Roman"/>
          <w:sz w:val="28"/>
          <w:szCs w:val="28"/>
        </w:rPr>
        <w:t>е</w:t>
      </w:r>
      <w:r w:rsidRPr="0004099D">
        <w:rPr>
          <w:rFonts w:ascii="Times New Roman" w:hAnsi="Times New Roman" w:cs="Times New Roman"/>
          <w:sz w:val="28"/>
          <w:szCs w:val="28"/>
        </w:rPr>
        <w:t>, выступа</w:t>
      </w:r>
      <w:r w:rsidR="003830EA">
        <w:rPr>
          <w:rFonts w:ascii="Times New Roman" w:hAnsi="Times New Roman" w:cs="Times New Roman"/>
          <w:sz w:val="28"/>
          <w:szCs w:val="28"/>
        </w:rPr>
        <w:t>ющее</w:t>
      </w:r>
      <w:r w:rsidRPr="0004099D">
        <w:rPr>
          <w:rFonts w:ascii="Times New Roman" w:hAnsi="Times New Roman" w:cs="Times New Roman"/>
          <w:sz w:val="28"/>
          <w:szCs w:val="28"/>
        </w:rPr>
        <w:t xml:space="preserve"> за гуманное и равноправное отношение к мигрантам и положительно оценива</w:t>
      </w:r>
      <w:r w:rsidR="003830EA">
        <w:rPr>
          <w:rFonts w:ascii="Times New Roman" w:hAnsi="Times New Roman" w:cs="Times New Roman"/>
          <w:sz w:val="28"/>
          <w:szCs w:val="28"/>
        </w:rPr>
        <w:t>ющее</w:t>
      </w:r>
      <w:r w:rsidRPr="0004099D">
        <w:rPr>
          <w:rFonts w:ascii="Times New Roman" w:hAnsi="Times New Roman" w:cs="Times New Roman"/>
          <w:sz w:val="28"/>
          <w:szCs w:val="28"/>
        </w:rPr>
        <w:t xml:space="preserve"> роль миграции в развитии региона, сохраняет высокий и средний адаптационный потенциал. </w:t>
      </w:r>
    </w:p>
    <w:p w:rsidR="009528BA" w:rsidRDefault="009528BA" w:rsidP="00F57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8BA" w:rsidRDefault="009528BA" w:rsidP="003F72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фактором для построения прогнозных моделей адаптивных стратегий мигрантов стал уровень знания мигрантами русского языка. </w:t>
      </w:r>
      <w:r w:rsidRPr="00CC3854">
        <w:rPr>
          <w:rFonts w:ascii="Times New Roman" w:hAnsi="Times New Roman" w:cs="Times New Roman"/>
          <w:sz w:val="28"/>
          <w:szCs w:val="28"/>
        </w:rPr>
        <w:t>«Знание языка является элементом стратегии, которую иммигрант может использовать, чтобы ускорить, затормозить или препятствовать своей интеграции»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A06" w:rsidRPr="009C6855" w:rsidRDefault="006E1A06" w:rsidP="00F57F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44E2">
        <w:rPr>
          <w:rFonts w:ascii="Times New Roman" w:hAnsi="Times New Roman"/>
          <w:sz w:val="28"/>
          <w:szCs w:val="28"/>
        </w:rPr>
        <w:t>Таким образом, в связи с огромным притоком разных категорий мигрантов остро встает проблема социально-культурной адаптации</w:t>
      </w:r>
      <w:r w:rsidRPr="009C6855">
        <w:rPr>
          <w:rFonts w:ascii="Times New Roman" w:hAnsi="Times New Roman"/>
          <w:sz w:val="28"/>
          <w:szCs w:val="28"/>
        </w:rPr>
        <w:t xml:space="preserve"> мигрантов,</w:t>
      </w:r>
      <w:r>
        <w:rPr>
          <w:rFonts w:ascii="Times New Roman" w:hAnsi="Times New Roman"/>
          <w:sz w:val="28"/>
          <w:szCs w:val="28"/>
        </w:rPr>
        <w:t xml:space="preserve"> включая детей-мигрантов и иностранных студентов,</w:t>
      </w:r>
      <w:r w:rsidRPr="009C6855">
        <w:rPr>
          <w:rFonts w:ascii="Times New Roman" w:hAnsi="Times New Roman"/>
          <w:sz w:val="28"/>
          <w:szCs w:val="28"/>
        </w:rPr>
        <w:t xml:space="preserve"> так как от характера адаптации мигрантов и принимающего населения зависит состояние межэтнической интеграции, социальных настроений в обществе. </w:t>
      </w:r>
    </w:p>
    <w:p w:rsidR="004E17CA" w:rsidRDefault="004E17CA" w:rsidP="00F5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4EB" w:rsidRPr="003830EA" w:rsidRDefault="008774EB" w:rsidP="008774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8774EB" w:rsidRDefault="008774EB" w:rsidP="00F5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A06" w:rsidRPr="009C6855" w:rsidRDefault="006E1A06" w:rsidP="00F5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55">
        <w:rPr>
          <w:rFonts w:ascii="Times New Roman" w:hAnsi="Times New Roman" w:cs="Times New Roman"/>
          <w:sz w:val="28"/>
          <w:szCs w:val="28"/>
        </w:rPr>
        <w:t xml:space="preserve">Проект направлен на создание условий для развития институтов гражданского общества в </w:t>
      </w:r>
      <w:r>
        <w:rPr>
          <w:rFonts w:ascii="Times New Roman" w:hAnsi="Times New Roman" w:cs="Times New Roman"/>
          <w:sz w:val="28"/>
          <w:szCs w:val="28"/>
        </w:rPr>
        <w:t xml:space="preserve">Алтайском крае как </w:t>
      </w:r>
      <w:r w:rsidRPr="009C6855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855">
        <w:rPr>
          <w:rFonts w:ascii="Times New Roman" w:hAnsi="Times New Roman" w:cs="Times New Roman"/>
          <w:sz w:val="28"/>
          <w:szCs w:val="28"/>
        </w:rPr>
        <w:t xml:space="preserve"> приграничья </w:t>
      </w:r>
      <w:r>
        <w:rPr>
          <w:rFonts w:ascii="Times New Roman" w:hAnsi="Times New Roman" w:cs="Times New Roman"/>
          <w:sz w:val="28"/>
          <w:szCs w:val="28"/>
        </w:rPr>
        <w:t>России, а также активизации</w:t>
      </w:r>
      <w:r w:rsidRPr="009C6855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органов власти, национально-культурных объединений 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C6855">
        <w:rPr>
          <w:rFonts w:ascii="Times New Roman" w:hAnsi="Times New Roman" w:cs="Times New Roman"/>
          <w:sz w:val="28"/>
          <w:szCs w:val="28"/>
        </w:rPr>
        <w:t xml:space="preserve"> в сфере развития гражданских инициатив и </w:t>
      </w:r>
      <w:proofErr w:type="gramStart"/>
      <w:r w:rsidRPr="009C6855">
        <w:rPr>
          <w:rFonts w:ascii="Times New Roman" w:hAnsi="Times New Roman" w:cs="Times New Roman"/>
          <w:sz w:val="28"/>
          <w:szCs w:val="28"/>
        </w:rPr>
        <w:t xml:space="preserve">содействию интеграции и адаптации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молодежи с разной миграционной историей в образовательной среде</w:t>
      </w:r>
      <w:r w:rsidRPr="009C6855">
        <w:rPr>
          <w:rFonts w:ascii="Times New Roman" w:hAnsi="Times New Roman" w:cs="Times New Roman"/>
          <w:sz w:val="28"/>
          <w:szCs w:val="28"/>
        </w:rPr>
        <w:t>.</w:t>
      </w:r>
    </w:p>
    <w:p w:rsidR="006E1A06" w:rsidRDefault="006E1A06" w:rsidP="00F5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A06" w:rsidRPr="009C6855" w:rsidRDefault="006E1A06" w:rsidP="00F5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55">
        <w:rPr>
          <w:rFonts w:ascii="Times New Roman" w:hAnsi="Times New Roman" w:cs="Times New Roman"/>
          <w:sz w:val="28"/>
          <w:szCs w:val="28"/>
        </w:rPr>
        <w:t xml:space="preserve">Проект предусматривает организацию системной работы по популяризации и обучения современным технологиям и </w:t>
      </w:r>
      <w:proofErr w:type="gramStart"/>
      <w:r w:rsidRPr="009C6855">
        <w:rPr>
          <w:rFonts w:ascii="Times New Roman" w:hAnsi="Times New Roman" w:cs="Times New Roman"/>
          <w:sz w:val="28"/>
          <w:szCs w:val="28"/>
        </w:rPr>
        <w:t xml:space="preserve">практикам социальной интеграции и адаптации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молодежи с разной миграционной историей в образовательной среде Алтайского края</w:t>
      </w:r>
      <w:r w:rsidRPr="009C6855">
        <w:rPr>
          <w:rFonts w:ascii="Times New Roman" w:hAnsi="Times New Roman" w:cs="Times New Roman"/>
          <w:sz w:val="28"/>
          <w:szCs w:val="28"/>
        </w:rPr>
        <w:t>.</w:t>
      </w:r>
    </w:p>
    <w:p w:rsidR="00D42A68" w:rsidRPr="002B477E" w:rsidRDefault="00D42A68" w:rsidP="00F5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4EB" w:rsidRPr="002B477E" w:rsidRDefault="008774EB" w:rsidP="00F5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A68" w:rsidRPr="00D42A68" w:rsidRDefault="008774EB" w:rsidP="00F5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4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8925" cy="4001112"/>
            <wp:effectExtent l="0" t="0" r="0" b="0"/>
            <wp:docPr id="1" name="Рисунок 1" descr="C:\Users\maksimova\Downloads\Электронное_пособие_для_мигрантов_макет 28.09_1_цвет_compressed_Страниц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ova\Downloads\Электронное_пособие_для_мигрантов_макет 28.09_1_цвет_compressed_Страница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84" cy="401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A68" w:rsidRPr="00D4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C5"/>
    <w:rsid w:val="0008233D"/>
    <w:rsid w:val="002B477E"/>
    <w:rsid w:val="00352BC5"/>
    <w:rsid w:val="003830EA"/>
    <w:rsid w:val="003F72B1"/>
    <w:rsid w:val="004E17CA"/>
    <w:rsid w:val="0054517C"/>
    <w:rsid w:val="0054795B"/>
    <w:rsid w:val="00653978"/>
    <w:rsid w:val="00670CE2"/>
    <w:rsid w:val="006E1A06"/>
    <w:rsid w:val="008678A6"/>
    <w:rsid w:val="008774EB"/>
    <w:rsid w:val="008D65B9"/>
    <w:rsid w:val="009528BA"/>
    <w:rsid w:val="0095663C"/>
    <w:rsid w:val="00D42A68"/>
    <w:rsid w:val="00D853E7"/>
    <w:rsid w:val="00E6079A"/>
    <w:rsid w:val="00ED33D7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0840"/>
  <w15:chartTrackingRefBased/>
  <w15:docId w15:val="{90FC114E-117E-4FE6-A0D4-B18D8A2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2B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2B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Светлана Геннадьевна</dc:creator>
  <cp:keywords/>
  <dc:description/>
  <cp:lastModifiedBy>Максимова Светлана Геннадьевна</cp:lastModifiedBy>
  <cp:revision>10</cp:revision>
  <dcterms:created xsi:type="dcterms:W3CDTF">2022-12-21T03:15:00Z</dcterms:created>
  <dcterms:modified xsi:type="dcterms:W3CDTF">2023-01-12T06:39:00Z</dcterms:modified>
</cp:coreProperties>
</file>